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B9" w:rsidRPr="001406B9" w:rsidRDefault="001406B9" w:rsidP="00A04F32">
      <w:pPr>
        <w:suppressAutoHyphens/>
        <w:spacing w:after="0"/>
        <w:jc w:val="right"/>
        <w:rPr>
          <w:b/>
          <w:lang w:eastAsia="ar-SA"/>
        </w:rPr>
      </w:pPr>
      <w:r w:rsidRPr="001406B9">
        <w:rPr>
          <w:b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bookmarkStart w:id="0" w:name="_GoBack"/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</w:t>
      </w:r>
      <w:r w:rsidR="00B457A3" w:rsidRPr="00B457A3">
        <w:rPr>
          <w:lang w:eastAsia="ar-SA"/>
        </w:rPr>
        <w:t>оказание услуг по переоборудованию автотранспортных средств на газобаллонное оборудование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9156BC" w:rsidRPr="009156BC">
        <w:rPr>
          <w:lang w:eastAsia="ar-SA"/>
        </w:rPr>
        <w:t xml:space="preserve">Ханты-Мансийский автономный округ-Югра, в помещении на территории города </w:t>
      </w:r>
      <w:proofErr w:type="spellStart"/>
      <w:r w:rsidR="009156BC" w:rsidRPr="009156BC">
        <w:rPr>
          <w:lang w:eastAsia="ar-SA"/>
        </w:rPr>
        <w:t>Югорска</w:t>
      </w:r>
      <w:proofErr w:type="spellEnd"/>
      <w:r w:rsidR="009156BC" w:rsidRPr="009156BC">
        <w:rPr>
          <w:lang w:eastAsia="ar-SA"/>
        </w:rPr>
        <w:t>.</w:t>
      </w:r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</w:t>
      </w:r>
      <w:r w:rsidR="00B457A3" w:rsidRPr="00B457A3">
        <w:rPr>
          <w:b/>
          <w:szCs w:val="24"/>
        </w:rPr>
        <w:t>переоборудованию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B457A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165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B457A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</w:tbl>
    <w:p w:rsidR="008D05C0" w:rsidRPr="004B07A8" w:rsidRDefault="008D05C0" w:rsidP="00AB4EEB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</w:rPr>
      </w:pPr>
      <w:r w:rsidRPr="004B07A8">
        <w:rPr>
          <w:b/>
        </w:rPr>
        <w:t xml:space="preserve">Приобретение и установка </w:t>
      </w:r>
      <w:r w:rsidR="00AB4EEB">
        <w:rPr>
          <w:b/>
        </w:rPr>
        <w:t>оборудования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самостоятельно приобретает, оплачивает доставку и использует для </w:t>
      </w:r>
      <w:r w:rsidR="006C6A08" w:rsidRPr="006C6A08">
        <w:t>переоборудовани</w:t>
      </w:r>
      <w:r w:rsidR="00AB4EEB">
        <w:t>я</w:t>
      </w:r>
      <w:r w:rsidR="006C6A08" w:rsidRPr="006C6A08">
        <w:t xml:space="preserve"> автотранспортных средств</w:t>
      </w:r>
      <w:r>
        <w:t xml:space="preserve"> </w:t>
      </w:r>
      <w:r w:rsidR="006C6A08" w:rsidRPr="006C6A08">
        <w:t>комплект</w:t>
      </w:r>
      <w:r w:rsidR="006C6A08">
        <w:t>ы</w:t>
      </w:r>
      <w:r w:rsidR="006C6A08" w:rsidRPr="006C6A08">
        <w:t xml:space="preserve"> газобаллонного оборудования</w:t>
      </w:r>
      <w:r w:rsidR="006C6A08">
        <w:t>, а также</w:t>
      </w:r>
      <w:r w:rsidR="006C6A08" w:rsidRPr="006C6A08">
        <w:t xml:space="preserve"> </w:t>
      </w:r>
      <w:r>
        <w:t xml:space="preserve">сопутствующие </w:t>
      </w:r>
      <w:r w:rsidR="006C6A08">
        <w:t xml:space="preserve">комплектующие и </w:t>
      </w:r>
      <w:r>
        <w:t>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При оказании услуг должны использоваться</w:t>
      </w:r>
      <w:r w:rsidR="006C6A08">
        <w:t xml:space="preserve"> только</w:t>
      </w:r>
      <w:r>
        <w:t xml:space="preserve"> новые</w:t>
      </w:r>
      <w:r w:rsidR="006C6A08">
        <w:t xml:space="preserve"> </w:t>
      </w:r>
      <w:r w:rsidR="006C6A08" w:rsidRPr="006C6A08">
        <w:t>комплекты газобаллонного оборудования</w:t>
      </w:r>
      <w:r>
        <w:t xml:space="preserve">, качественные комплектующие </w:t>
      </w:r>
      <w:r w:rsidR="00AB4EEB" w:rsidRPr="00AB4EEB">
        <w:t>и материалы</w:t>
      </w:r>
      <w:r>
        <w:t xml:space="preserve">, отвечающие требованиям безопасности. </w:t>
      </w:r>
    </w:p>
    <w:p w:rsidR="00B457A3" w:rsidRPr="00B457A3" w:rsidRDefault="00B457A3" w:rsidP="00B457A3">
      <w:pPr>
        <w:suppressAutoHyphens/>
        <w:spacing w:after="0" w:line="276" w:lineRule="auto"/>
        <w:rPr>
          <w:bCs/>
          <w:color w:val="000000"/>
          <w:lang w:eastAsia="zh-CN"/>
        </w:rPr>
      </w:pPr>
      <w:r w:rsidRPr="00B457A3">
        <w:rPr>
          <w:b/>
          <w:lang w:eastAsia="zh-CN"/>
        </w:rPr>
        <w:t>Услуги оказываются согласно</w:t>
      </w:r>
      <w:r w:rsidRPr="00B457A3">
        <w:rPr>
          <w:bCs/>
          <w:color w:val="000000"/>
          <w:lang w:eastAsia="zh-CN"/>
        </w:rPr>
        <w:t xml:space="preserve"> Техническому регламенту Таможенного союза "О безопасности колесных транспортных средств" (</w:t>
      </w:r>
      <w:proofErr w:type="gramStart"/>
      <w:r w:rsidRPr="00B457A3">
        <w:rPr>
          <w:bCs/>
          <w:color w:val="000000"/>
          <w:lang w:eastAsia="zh-CN"/>
        </w:rPr>
        <w:t>ТР</w:t>
      </w:r>
      <w:proofErr w:type="gramEnd"/>
      <w:r w:rsidRPr="00B457A3">
        <w:rPr>
          <w:bCs/>
          <w:color w:val="000000"/>
          <w:lang w:eastAsia="zh-CN"/>
        </w:rPr>
        <w:t xml:space="preserve"> ТС - 018 – 2011).</w:t>
      </w:r>
    </w:p>
    <w:p w:rsidR="00B457A3" w:rsidRPr="00B457A3" w:rsidRDefault="00B457A3" w:rsidP="00B457A3">
      <w:pPr>
        <w:suppressAutoHyphens/>
        <w:spacing w:after="0"/>
        <w:rPr>
          <w:b/>
          <w:bCs/>
          <w:color w:val="000000"/>
          <w:lang w:eastAsia="zh-CN"/>
        </w:rPr>
      </w:pPr>
      <w:r w:rsidRPr="00B457A3">
        <w:rPr>
          <w:b/>
          <w:bCs/>
          <w:color w:val="000000"/>
          <w:lang w:eastAsia="zh-CN"/>
        </w:rPr>
        <w:t>Функциональные, технические и эксплуатационные характеристики устанавливаемого оборудования:</w:t>
      </w:r>
    </w:p>
    <w:p w:rsidR="00B457A3" w:rsidRPr="00B457A3" w:rsidRDefault="00B457A3" w:rsidP="00B457A3">
      <w:pPr>
        <w:tabs>
          <w:tab w:val="left" w:pos="567"/>
        </w:tabs>
        <w:suppressAutoHyphens/>
        <w:spacing w:after="0"/>
        <w:rPr>
          <w:lang w:eastAsia="zh-CN"/>
        </w:rPr>
      </w:pPr>
      <w:r w:rsidRPr="00B457A3">
        <w:rPr>
          <w:lang w:eastAsia="zh-CN"/>
        </w:rPr>
        <w:t xml:space="preserve">Установка газобаллонного оборудования производиться в соответствии с требованиями Национального стандарта РФ ГОСТ </w:t>
      </w:r>
      <w:proofErr w:type="gramStart"/>
      <w:r w:rsidRPr="00B457A3">
        <w:rPr>
          <w:lang w:eastAsia="zh-CN"/>
        </w:rPr>
        <w:t>Р</w:t>
      </w:r>
      <w:proofErr w:type="gramEnd"/>
      <w:r w:rsidRPr="00B457A3">
        <w:rPr>
          <w:lang w:eastAsia="zh-CN"/>
        </w:rPr>
        <w:t xml:space="preserve"> 58697-2019 "Автомобильные транспортные средства. Порядок и процедуры методов контроля установки газобаллонного оборудования" (утв. и введен в действие приказом Федерального агентства по техническому регулированию и метрологии от 8 ноября 2019 г. N 843-ст).</w:t>
      </w:r>
    </w:p>
    <w:p w:rsidR="00B457A3" w:rsidRPr="00B457A3" w:rsidRDefault="00B457A3" w:rsidP="00B457A3">
      <w:pPr>
        <w:tabs>
          <w:tab w:val="left" w:pos="567"/>
        </w:tabs>
        <w:suppressAutoHyphens/>
        <w:spacing w:after="0"/>
        <w:rPr>
          <w:lang w:eastAsia="zh-CN"/>
        </w:rPr>
      </w:pPr>
      <w:r w:rsidRPr="00B457A3">
        <w:rPr>
          <w:lang w:eastAsia="zh-CN"/>
        </w:rPr>
        <w:t xml:space="preserve">Устанавливаемое </w:t>
      </w:r>
      <w:r w:rsidRPr="00B457A3">
        <w:rPr>
          <w:color w:val="000000"/>
          <w:lang w:eastAsia="zh-CN"/>
        </w:rPr>
        <w:t>газобаллонное оборудование</w:t>
      </w:r>
      <w:r w:rsidRPr="00B457A3">
        <w:rPr>
          <w:lang w:eastAsia="zh-CN"/>
        </w:rPr>
        <w:t xml:space="preserve"> должно соответствовать требованию Стандарта национальной межотраслевой Ассоциации производителей </w:t>
      </w:r>
      <w:proofErr w:type="spellStart"/>
      <w:r w:rsidRPr="00B457A3">
        <w:rPr>
          <w:lang w:eastAsia="zh-CN"/>
        </w:rPr>
        <w:t>газотопливного</w:t>
      </w:r>
      <w:proofErr w:type="spellEnd"/>
      <w:r w:rsidRPr="00B457A3">
        <w:rPr>
          <w:lang w:eastAsia="zh-CN"/>
        </w:rPr>
        <w:t xml:space="preserve"> оборудования для транспорта СТА ГТО-2-97 и конструкторской документации предприятий-изготовителей и иметь сертификат соответствия для данного типа автотранспортных средств согласно требований СТА ГТО-2-97 и ГОСТ </w:t>
      </w:r>
      <w:proofErr w:type="gramStart"/>
      <w:r w:rsidRPr="00B457A3">
        <w:rPr>
          <w:lang w:eastAsia="zh-CN"/>
        </w:rPr>
        <w:t>Р</w:t>
      </w:r>
      <w:proofErr w:type="gramEnd"/>
      <w:r w:rsidRPr="00B457A3">
        <w:rPr>
          <w:lang w:eastAsia="zh-CN"/>
        </w:rPr>
        <w:t xml:space="preserve"> «Система сертификации механических транспортных средств и прицепов» (раздел «Порядок сертификации запасных частей и принадлежностей к механическим транспортным средствам и прицепам»). Установка несертифицированного </w:t>
      </w:r>
      <w:r w:rsidRPr="00B457A3">
        <w:rPr>
          <w:color w:val="000000"/>
          <w:lang w:eastAsia="zh-CN"/>
        </w:rPr>
        <w:t>газобаллонного оборудования</w:t>
      </w:r>
      <w:r w:rsidRPr="00B457A3">
        <w:rPr>
          <w:lang w:eastAsia="zh-CN"/>
        </w:rPr>
        <w:t xml:space="preserve"> не допускается.</w:t>
      </w:r>
    </w:p>
    <w:p w:rsidR="00B457A3" w:rsidRPr="00B457A3" w:rsidRDefault="00B457A3" w:rsidP="00B457A3">
      <w:pPr>
        <w:suppressAutoHyphens/>
        <w:spacing w:after="0"/>
        <w:rPr>
          <w:color w:val="000000"/>
          <w:lang w:eastAsia="zh-CN"/>
        </w:rPr>
      </w:pPr>
      <w:proofErr w:type="gramStart"/>
      <w:r w:rsidRPr="00B457A3">
        <w:rPr>
          <w:color w:val="000000"/>
          <w:lang w:eastAsia="zh-CN"/>
        </w:rPr>
        <w:t>Под комплектом газобаллонного оборудования, устанавливаемого на автотранспортные средства, понимается: блок управления,</w:t>
      </w:r>
      <w:r w:rsidR="006C6A08">
        <w:rPr>
          <w:color w:val="000000"/>
          <w:lang w:eastAsia="zh-CN"/>
        </w:rPr>
        <w:t xml:space="preserve"> баллон,</w:t>
      </w:r>
      <w:r w:rsidR="00AB4EEB">
        <w:rPr>
          <w:color w:val="000000"/>
          <w:lang w:eastAsia="zh-CN"/>
        </w:rPr>
        <w:t xml:space="preserve"> постель баллона, вентиль баллонный, вентиль заправочный, манометр,</w:t>
      </w:r>
      <w:r w:rsidR="0098531A">
        <w:rPr>
          <w:color w:val="000000"/>
          <w:lang w:eastAsia="zh-CN"/>
        </w:rPr>
        <w:t xml:space="preserve"> р</w:t>
      </w:r>
      <w:r w:rsidR="0098531A" w:rsidRPr="0098531A">
        <w:rPr>
          <w:color w:val="000000"/>
          <w:lang w:eastAsia="zh-CN"/>
        </w:rPr>
        <w:t>едуктор</w:t>
      </w:r>
      <w:r w:rsidR="0098531A">
        <w:rPr>
          <w:color w:val="000000"/>
          <w:lang w:eastAsia="zh-CN"/>
        </w:rPr>
        <w:t>, р</w:t>
      </w:r>
      <w:r w:rsidR="0098531A" w:rsidRPr="0098531A">
        <w:rPr>
          <w:color w:val="000000"/>
          <w:lang w:eastAsia="zh-CN"/>
        </w:rPr>
        <w:t>ампа (форсунки)</w:t>
      </w:r>
      <w:r w:rsidR="0098531A">
        <w:rPr>
          <w:color w:val="000000"/>
          <w:lang w:eastAsia="zh-CN"/>
        </w:rPr>
        <w:t>,</w:t>
      </w:r>
      <w:r w:rsidR="00AB4EEB" w:rsidRPr="00B457A3">
        <w:rPr>
          <w:color w:val="000000"/>
          <w:lang w:eastAsia="zh-CN"/>
        </w:rPr>
        <w:t xml:space="preserve"> </w:t>
      </w:r>
      <w:r w:rsidR="0098531A">
        <w:rPr>
          <w:color w:val="000000"/>
          <w:lang w:eastAsia="zh-CN"/>
        </w:rPr>
        <w:t>к</w:t>
      </w:r>
      <w:r w:rsidR="0098531A" w:rsidRPr="0098531A">
        <w:rPr>
          <w:color w:val="000000"/>
          <w:lang w:eastAsia="zh-CN"/>
        </w:rPr>
        <w:t>омплект проводки</w:t>
      </w:r>
      <w:r w:rsidR="0098531A">
        <w:rPr>
          <w:color w:val="000000"/>
          <w:lang w:eastAsia="zh-CN"/>
        </w:rPr>
        <w:t>,</w:t>
      </w:r>
      <w:r w:rsidR="0098531A" w:rsidRPr="0098531A">
        <w:t xml:space="preserve"> </w:t>
      </w:r>
      <w:r w:rsidR="0098531A">
        <w:t>д</w:t>
      </w:r>
      <w:r w:rsidR="0098531A" w:rsidRPr="0098531A">
        <w:rPr>
          <w:color w:val="000000"/>
          <w:lang w:eastAsia="zh-CN"/>
        </w:rPr>
        <w:t>атчик абсолютного давления и температуры газа (МАП сенсор)</w:t>
      </w:r>
      <w:r w:rsidR="0098531A">
        <w:rPr>
          <w:color w:val="000000"/>
          <w:lang w:eastAsia="zh-CN"/>
        </w:rPr>
        <w:t>, д</w:t>
      </w:r>
      <w:r w:rsidR="0098531A" w:rsidRPr="0098531A">
        <w:rPr>
          <w:color w:val="000000"/>
          <w:lang w:eastAsia="zh-CN"/>
        </w:rPr>
        <w:t>атчик температуры редуктора</w:t>
      </w:r>
      <w:r w:rsidR="0098531A">
        <w:rPr>
          <w:color w:val="000000"/>
          <w:lang w:eastAsia="zh-CN"/>
        </w:rPr>
        <w:t>, к</w:t>
      </w:r>
      <w:r w:rsidR="0098531A" w:rsidRPr="0098531A">
        <w:rPr>
          <w:color w:val="000000"/>
          <w:lang w:eastAsia="zh-CN"/>
        </w:rPr>
        <w:t>нопка переключения вида топлива</w:t>
      </w:r>
      <w:r w:rsidR="0098531A">
        <w:rPr>
          <w:color w:val="000000"/>
          <w:lang w:eastAsia="zh-CN"/>
        </w:rPr>
        <w:t>, ф</w:t>
      </w:r>
      <w:r w:rsidR="0098531A" w:rsidRPr="0098531A">
        <w:rPr>
          <w:color w:val="000000"/>
          <w:lang w:eastAsia="zh-CN"/>
        </w:rPr>
        <w:t>ильтр с сепаратором</w:t>
      </w:r>
      <w:r w:rsidR="0098531A">
        <w:rPr>
          <w:color w:val="000000"/>
          <w:lang w:eastAsia="zh-CN"/>
        </w:rPr>
        <w:t>,</w:t>
      </w:r>
      <w:r w:rsidR="0098531A" w:rsidRPr="0098531A">
        <w:rPr>
          <w:color w:val="000000"/>
          <w:lang w:eastAsia="zh-CN"/>
        </w:rPr>
        <w:t xml:space="preserve"> </w:t>
      </w:r>
      <w:r w:rsidR="0098531A" w:rsidRPr="00B457A3">
        <w:rPr>
          <w:color w:val="000000"/>
          <w:lang w:eastAsia="zh-CN"/>
        </w:rPr>
        <w:t>монтажный набор</w:t>
      </w:r>
      <w:r w:rsidRPr="00B457A3">
        <w:rPr>
          <w:color w:val="000000"/>
          <w:lang w:eastAsia="zh-CN"/>
        </w:rPr>
        <w:t>.</w:t>
      </w:r>
      <w:proofErr w:type="gramEnd"/>
    </w:p>
    <w:p w:rsidR="00B457A3" w:rsidRPr="00B457A3" w:rsidRDefault="00B457A3" w:rsidP="00B457A3">
      <w:pPr>
        <w:suppressAutoHyphens/>
        <w:spacing w:after="0"/>
        <w:rPr>
          <w:color w:val="000000"/>
          <w:lang w:eastAsia="zh-CN"/>
        </w:rPr>
      </w:pPr>
      <w:r w:rsidRPr="00B457A3">
        <w:rPr>
          <w:color w:val="000000"/>
          <w:lang w:eastAsia="zh-CN"/>
        </w:rPr>
        <w:t xml:space="preserve">Газобаллонное оборудование, устанавливаемое на автотранспортные средства, должно </w:t>
      </w:r>
      <w:r w:rsidRPr="00B457A3">
        <w:rPr>
          <w:lang w:eastAsia="ar-SA"/>
        </w:rPr>
        <w:t>соответствовать следующим требованиям</w:t>
      </w:r>
      <w:r w:rsidRPr="00B457A3">
        <w:rPr>
          <w:color w:val="000000"/>
          <w:lang w:eastAsia="zh-CN"/>
        </w:rPr>
        <w:t>: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- тип топлива: метан;</w:t>
      </w:r>
    </w:p>
    <w:p w:rsidR="0098531A" w:rsidRDefault="0098531A" w:rsidP="00B457A3">
      <w:pPr>
        <w:suppressAutoHyphens/>
        <w:spacing w:after="0"/>
        <w:contextualSpacing/>
        <w:rPr>
          <w:color w:val="000000"/>
          <w:lang w:eastAsia="zh-CN"/>
        </w:rPr>
      </w:pPr>
      <w:r>
        <w:rPr>
          <w:color w:val="000000"/>
          <w:lang w:eastAsia="zh-CN"/>
        </w:rPr>
        <w:t>- объем баллона: 90 литров – 1 шт.; 100 литров – 1 шт.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- схема рампы форсунок: 4 цилиндра;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 xml:space="preserve">- разъем катушки форсунки: </w:t>
      </w:r>
      <w:r w:rsidR="00A76AB9">
        <w:rPr>
          <w:color w:val="000000"/>
          <w:lang w:eastAsia="zh-CN"/>
        </w:rPr>
        <w:t>в</w:t>
      </w:r>
      <w:r w:rsidRPr="00B457A3">
        <w:rPr>
          <w:color w:val="000000"/>
          <w:lang w:eastAsia="zh-CN"/>
        </w:rPr>
        <w:t>одонепроницаемый;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lastRenderedPageBreak/>
        <w:t>Переключение работы двигателя с одного вида топлива на другой должно осуществляться с рабочего места водителя без остановки двигателя.</w:t>
      </w:r>
    </w:p>
    <w:p w:rsidR="00B457A3" w:rsidRPr="00B457A3" w:rsidRDefault="00B457A3" w:rsidP="00B457A3">
      <w:pPr>
        <w:suppressAutoHyphens/>
        <w:spacing w:after="0"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Исполнитель обеспечивает сохранность транспортных средств Заказчика, переданных ему для оказания услуг.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 xml:space="preserve">После установки газобаллонного оборудования Исполнитель обязан провести испытания системы питания газобаллонных колесных транспортных средств на специализированных станциях (участках) сжатым воздухом с последующим </w:t>
      </w:r>
      <w:proofErr w:type="spellStart"/>
      <w:r w:rsidRPr="00B457A3">
        <w:rPr>
          <w:color w:val="000000"/>
          <w:lang w:eastAsia="zh-CN"/>
        </w:rPr>
        <w:t>вакуумированием</w:t>
      </w:r>
      <w:proofErr w:type="spellEnd"/>
      <w:r w:rsidRPr="00B457A3">
        <w:rPr>
          <w:color w:val="000000"/>
          <w:lang w:eastAsia="zh-CN"/>
        </w:rPr>
        <w:t xml:space="preserve"> ГБО.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По окончании оказания услуг Исполнитель предоставляет Заказчику пакет документов для регистрации в ГИБДД: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 xml:space="preserve">- заключение предварительной технической экспертизы конструкции транспортного средства (выданное Аккредитованной Испытательной лабораторией); 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 xml:space="preserve">- заявление-декларация об объеме работ по внесению изменений в конструкцию транспортного средства; 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-  протокол экспертизы безопасности конструкции транспортного средства с внесенными в конструкцию изменениями (выданный Аккредитованной Испытательной лабораторией)</w:t>
      </w:r>
    </w:p>
    <w:p w:rsidR="00B457A3" w:rsidRPr="00B457A3" w:rsidRDefault="00B457A3" w:rsidP="00B457A3">
      <w:pPr>
        <w:suppressAutoHyphens/>
        <w:spacing w:after="0"/>
        <w:contextualSpacing/>
        <w:rPr>
          <w:color w:val="000000"/>
          <w:lang w:eastAsia="zh-CN"/>
        </w:rPr>
      </w:pPr>
      <w:r w:rsidRPr="00B457A3">
        <w:rPr>
          <w:color w:val="000000"/>
          <w:lang w:eastAsia="zh-CN"/>
        </w:rPr>
        <w:t>-  сертификат по установке и обслуживанию ГБО (наличие на момент оказания услуг), сертификат на устанавливаемое оборудование, паспорт газового баллона.</w:t>
      </w:r>
    </w:p>
    <w:p w:rsidR="00B457A3" w:rsidRDefault="00B457A3" w:rsidP="006C6A08">
      <w:pPr>
        <w:suppressAutoHyphens/>
        <w:spacing w:after="0"/>
      </w:pPr>
      <w:r w:rsidRPr="00B457A3">
        <w:rPr>
          <w:b/>
          <w:color w:val="000000"/>
          <w:lang w:eastAsia="zh-CN"/>
        </w:rPr>
        <w:t>Требования к гарантийному сроку:</w:t>
      </w:r>
      <w:r w:rsidRPr="00B457A3">
        <w:rPr>
          <w:bCs/>
          <w:color w:val="000000"/>
          <w:lang w:eastAsia="zh-CN"/>
        </w:rPr>
        <w:t xml:space="preserve"> </w:t>
      </w:r>
      <w:r w:rsidRPr="00B457A3">
        <w:rPr>
          <w:bCs/>
          <w:lang w:eastAsia="zh-CN"/>
        </w:rPr>
        <w:t>Гарантийный срок товара составляет не менее 12 месяцев или не менее 30 000 км пробега, в зависимости от того, какое из условий наступит ранее.</w:t>
      </w:r>
      <w:r w:rsidR="006C6A08">
        <w:t xml:space="preserve"> </w:t>
      </w:r>
      <w:bookmarkEnd w:id="0"/>
    </w:p>
    <w:sectPr w:rsidR="00B457A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406B9"/>
    <w:rsid w:val="001C543F"/>
    <w:rsid w:val="001F361A"/>
    <w:rsid w:val="00255DB1"/>
    <w:rsid w:val="00271DBF"/>
    <w:rsid w:val="002804F6"/>
    <w:rsid w:val="002D4C36"/>
    <w:rsid w:val="00314534"/>
    <w:rsid w:val="0035016E"/>
    <w:rsid w:val="00396988"/>
    <w:rsid w:val="003A59BD"/>
    <w:rsid w:val="004024AA"/>
    <w:rsid w:val="004176A9"/>
    <w:rsid w:val="004C322C"/>
    <w:rsid w:val="004D41FA"/>
    <w:rsid w:val="004F4D7B"/>
    <w:rsid w:val="005B5CBD"/>
    <w:rsid w:val="00655916"/>
    <w:rsid w:val="00685BB8"/>
    <w:rsid w:val="006C6A08"/>
    <w:rsid w:val="00737C98"/>
    <w:rsid w:val="007C4212"/>
    <w:rsid w:val="007D5162"/>
    <w:rsid w:val="00842369"/>
    <w:rsid w:val="008470F1"/>
    <w:rsid w:val="00850583"/>
    <w:rsid w:val="008D05C0"/>
    <w:rsid w:val="009135C3"/>
    <w:rsid w:val="009156BC"/>
    <w:rsid w:val="009625D2"/>
    <w:rsid w:val="0098531A"/>
    <w:rsid w:val="009C2CFB"/>
    <w:rsid w:val="00A04F32"/>
    <w:rsid w:val="00A71229"/>
    <w:rsid w:val="00A76AB9"/>
    <w:rsid w:val="00AB1632"/>
    <w:rsid w:val="00AB4EEB"/>
    <w:rsid w:val="00AB57E3"/>
    <w:rsid w:val="00B20BAD"/>
    <w:rsid w:val="00B457A3"/>
    <w:rsid w:val="00B66F68"/>
    <w:rsid w:val="00BE435E"/>
    <w:rsid w:val="00C37AFF"/>
    <w:rsid w:val="00C92E1D"/>
    <w:rsid w:val="00CE3967"/>
    <w:rsid w:val="00DA458F"/>
    <w:rsid w:val="00E05F59"/>
    <w:rsid w:val="00E06008"/>
    <w:rsid w:val="00EF2F73"/>
    <w:rsid w:val="00F54B39"/>
    <w:rsid w:val="00F55073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BF96-CD94-4014-8851-B03E057B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6</cp:revision>
  <cp:lastPrinted>2025-02-17T07:24:00Z</cp:lastPrinted>
  <dcterms:created xsi:type="dcterms:W3CDTF">2025-10-15T07:41:00Z</dcterms:created>
  <dcterms:modified xsi:type="dcterms:W3CDTF">2025-10-29T07:28:00Z</dcterms:modified>
</cp:coreProperties>
</file>